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4" w:rsidRDefault="008B1ED4" w:rsidP="008B1ED4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  <w:r w:rsidRPr="008B1ED4">
        <w:rPr>
          <w:rFonts w:ascii="Arial" w:hAnsi="Arial" w:cs="Arial"/>
          <w:bCs/>
          <w:caps w:val="0"/>
          <w:noProof/>
          <w:kern w:val="0"/>
          <w:sz w:val="44"/>
          <w:szCs w:val="44"/>
          <w:lang w:val="en-ZA" w:eastAsia="en-ZA"/>
        </w:rPr>
        <w:drawing>
          <wp:inline distT="0" distB="0" distL="0" distR="0">
            <wp:extent cx="1473169" cy="16430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69" cy="16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5FCF" w:rsidRDefault="003B5FCF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</w:p>
    <w:p w:rsidR="00771CB8" w:rsidRPr="00771CB8" w:rsidRDefault="008B1ED4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  <w:r>
        <w:rPr>
          <w:rFonts w:ascii="Arial" w:hAnsi="Arial" w:cs="Arial"/>
          <w:bCs/>
          <w:caps w:val="0"/>
          <w:kern w:val="0"/>
          <w:sz w:val="44"/>
          <w:szCs w:val="44"/>
        </w:rPr>
        <w:t>BRIDGING PROVIDENT FUND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Pr="00E7572F" w:rsidRDefault="00C7775D" w:rsidP="008B1ED4">
      <w:pPr>
        <w:pStyle w:val="Title"/>
        <w:rPr>
          <w:sz w:val="44"/>
          <w:szCs w:val="44"/>
        </w:rPr>
      </w:pPr>
      <w:r>
        <w:rPr>
          <w:sz w:val="44"/>
          <w:szCs w:val="44"/>
        </w:rPr>
        <w:t>ASSET MANAGER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Default="00590DE2" w:rsidP="009C455A">
      <w:pPr>
        <w:pStyle w:val="Title"/>
        <w:rPr>
          <w:sz w:val="44"/>
          <w:szCs w:val="44"/>
        </w:rPr>
      </w:pPr>
      <w:r>
        <w:rPr>
          <w:sz w:val="44"/>
          <w:szCs w:val="44"/>
        </w:rPr>
        <w:t>ASSESSMENT</w:t>
      </w:r>
      <w:r w:rsidR="009C455A">
        <w:rPr>
          <w:sz w:val="44"/>
          <w:szCs w:val="44"/>
        </w:rPr>
        <w:t xml:space="preserve"> DOCUMENT</w:t>
      </w:r>
    </w:p>
    <w:p w:rsidR="009C455A" w:rsidRDefault="009C455A" w:rsidP="009C455A">
      <w:pPr>
        <w:pStyle w:val="Title"/>
        <w:rPr>
          <w:sz w:val="44"/>
          <w:szCs w:val="44"/>
        </w:rPr>
      </w:pPr>
    </w:p>
    <w:p w:rsidR="00086649" w:rsidRDefault="00086649">
      <w:pPr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086649" w:rsidRPr="00086649" w:rsidRDefault="00086649" w:rsidP="00086649">
      <w:pPr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 w:rsidRPr="00086649">
        <w:rPr>
          <w:rFonts w:ascii="Arial" w:hAnsi="Arial" w:cs="Arial"/>
          <w:b/>
        </w:rPr>
        <w:lastRenderedPageBreak/>
        <w:t>INTRODUCTION</w:t>
      </w:r>
    </w:p>
    <w:p w:rsidR="00086649" w:rsidRPr="00E7572F" w:rsidRDefault="00086649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A62B7B" w:rsidRDefault="009C455A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purpose of this </w:t>
      </w:r>
      <w:r w:rsidR="003F705E">
        <w:rPr>
          <w:rFonts w:ascii="Arial" w:hAnsi="Arial" w:cs="Arial"/>
          <w:lang w:val="en-ZA"/>
        </w:rPr>
        <w:t xml:space="preserve">assessment </w:t>
      </w:r>
      <w:r>
        <w:rPr>
          <w:rFonts w:ascii="Arial" w:hAnsi="Arial" w:cs="Arial"/>
          <w:lang w:val="en-ZA"/>
        </w:rPr>
        <w:t>document</w:t>
      </w:r>
      <w:r w:rsidRPr="00E7572F">
        <w:rPr>
          <w:rFonts w:ascii="Arial" w:hAnsi="Arial" w:cs="Arial"/>
          <w:lang w:val="en-ZA"/>
        </w:rPr>
        <w:t xml:space="preserve"> is</w:t>
      </w:r>
      <w:r w:rsidR="00082261">
        <w:rPr>
          <w:rFonts w:ascii="Arial" w:hAnsi="Arial" w:cs="Arial"/>
          <w:lang w:val="en-ZA"/>
        </w:rPr>
        <w:t xml:space="preserve"> to rate </w:t>
      </w:r>
      <w:r w:rsidR="00771CB8">
        <w:rPr>
          <w:rFonts w:ascii="Arial" w:hAnsi="Arial" w:cs="Arial"/>
          <w:lang w:val="en-ZA"/>
        </w:rPr>
        <w:t xml:space="preserve">the </w:t>
      </w:r>
      <w:r w:rsidR="00082261">
        <w:rPr>
          <w:rFonts w:ascii="Arial" w:hAnsi="Arial" w:cs="Arial"/>
          <w:lang w:val="en-ZA"/>
        </w:rPr>
        <w:t>asset managers</w:t>
      </w:r>
      <w:r w:rsidR="00771CB8">
        <w:rPr>
          <w:rFonts w:ascii="Arial" w:hAnsi="Arial" w:cs="Arial"/>
          <w:lang w:val="en-ZA"/>
        </w:rPr>
        <w:t xml:space="preserve"> of the fund</w:t>
      </w:r>
      <w:r w:rsidR="003B5FCF">
        <w:rPr>
          <w:rFonts w:ascii="Arial" w:hAnsi="Arial" w:cs="Arial"/>
          <w:lang w:val="en-ZA"/>
        </w:rPr>
        <w:t xml:space="preserve"> for the year ended 31 </w:t>
      </w:r>
      <w:r w:rsidR="00A13DD9">
        <w:rPr>
          <w:rFonts w:ascii="Arial" w:hAnsi="Arial" w:cs="Arial"/>
          <w:lang w:val="en-ZA"/>
        </w:rPr>
        <w:t>March 2019</w:t>
      </w:r>
      <w:r w:rsidR="003B5FCF">
        <w:rPr>
          <w:rFonts w:ascii="Arial" w:hAnsi="Arial" w:cs="Arial"/>
          <w:lang w:val="en-ZA"/>
        </w:rPr>
        <w:t xml:space="preserve"> to </w:t>
      </w:r>
      <w:r w:rsidRPr="009C455A">
        <w:rPr>
          <w:rFonts w:ascii="Arial" w:hAnsi="Arial" w:cs="Arial"/>
          <w:lang w:val="en-ZA"/>
        </w:rPr>
        <w:t>identify areas whe</w:t>
      </w:r>
      <w:r w:rsidR="003B5FCF">
        <w:rPr>
          <w:rFonts w:ascii="Arial" w:hAnsi="Arial" w:cs="Arial"/>
          <w:lang w:val="en-ZA"/>
        </w:rPr>
        <w:t xml:space="preserve">re improvements are necessary. </w:t>
      </w:r>
    </w:p>
    <w:p w:rsidR="00A15122" w:rsidRDefault="00A15122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EC4F2B" w:rsidRDefault="00A15122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n-ZA"/>
        </w:rPr>
      </w:pPr>
      <w:r w:rsidRPr="000C30E7">
        <w:rPr>
          <w:rFonts w:ascii="Arial" w:hAnsi="Arial" w:cs="Arial"/>
          <w:color w:val="000000"/>
          <w:lang w:eastAsia="en-ZA"/>
        </w:rPr>
        <w:t>The o</w:t>
      </w:r>
      <w:r w:rsidR="00310BF8">
        <w:rPr>
          <w:rFonts w:ascii="Arial" w:hAnsi="Arial" w:cs="Arial"/>
          <w:color w:val="000000"/>
          <w:lang w:eastAsia="en-ZA"/>
        </w:rPr>
        <w:t xml:space="preserve">pinion poll will be based on a </w:t>
      </w:r>
      <w:r w:rsidRPr="000C30E7">
        <w:rPr>
          <w:rFonts w:ascii="Arial" w:hAnsi="Arial" w:cs="Arial"/>
          <w:color w:val="000000"/>
          <w:lang w:eastAsia="en-ZA"/>
        </w:rPr>
        <w:t>4-point L</w:t>
      </w:r>
      <w:r>
        <w:rPr>
          <w:rFonts w:ascii="Arial" w:hAnsi="Arial" w:cs="Arial"/>
          <w:color w:val="000000"/>
          <w:lang w:eastAsia="en-ZA"/>
        </w:rPr>
        <w:t>ikert S</w:t>
      </w:r>
      <w:r w:rsidRPr="000C30E7">
        <w:rPr>
          <w:rFonts w:ascii="Arial" w:hAnsi="Arial" w:cs="Arial"/>
          <w:color w:val="000000"/>
          <w:lang w:eastAsia="en-ZA"/>
        </w:rPr>
        <w:t>cale which will provide the particip</w:t>
      </w:r>
      <w:r w:rsidR="00310BF8">
        <w:rPr>
          <w:rFonts w:ascii="Arial" w:hAnsi="Arial" w:cs="Arial"/>
          <w:color w:val="000000"/>
          <w:lang w:eastAsia="en-ZA"/>
        </w:rPr>
        <w:t xml:space="preserve">ants with response options for </w:t>
      </w:r>
      <w:r>
        <w:rPr>
          <w:rFonts w:ascii="Arial" w:hAnsi="Arial" w:cs="Arial"/>
          <w:color w:val="000000"/>
          <w:lang w:eastAsia="en-ZA"/>
        </w:rPr>
        <w:t>1) strongly agree</w:t>
      </w:r>
      <w:r w:rsidRPr="000C30E7">
        <w:rPr>
          <w:rFonts w:ascii="Arial" w:hAnsi="Arial" w:cs="Arial"/>
          <w:color w:val="000000"/>
          <w:lang w:eastAsia="en-ZA"/>
        </w:rPr>
        <w:t xml:space="preserve">, </w:t>
      </w:r>
      <w:r>
        <w:rPr>
          <w:rFonts w:ascii="Arial" w:hAnsi="Arial" w:cs="Arial"/>
          <w:color w:val="000000"/>
          <w:lang w:eastAsia="en-ZA"/>
        </w:rPr>
        <w:t>2) Agree</w:t>
      </w:r>
      <w:r w:rsidRPr="000C30E7">
        <w:rPr>
          <w:rFonts w:ascii="Arial" w:hAnsi="Arial" w:cs="Arial"/>
          <w:color w:val="000000"/>
          <w:lang w:eastAsia="en-ZA"/>
        </w:rPr>
        <w:t xml:space="preserve">, </w:t>
      </w:r>
      <w:r>
        <w:rPr>
          <w:rFonts w:ascii="Arial" w:hAnsi="Arial" w:cs="Arial"/>
          <w:color w:val="000000"/>
          <w:lang w:eastAsia="en-ZA"/>
        </w:rPr>
        <w:t>3) Disagree</w:t>
      </w:r>
      <w:r w:rsidRPr="000C30E7">
        <w:rPr>
          <w:rFonts w:ascii="Arial" w:hAnsi="Arial" w:cs="Arial"/>
          <w:color w:val="000000"/>
          <w:lang w:eastAsia="en-ZA"/>
        </w:rPr>
        <w:t xml:space="preserve"> and </w:t>
      </w:r>
      <w:r>
        <w:rPr>
          <w:rFonts w:ascii="Arial" w:hAnsi="Arial" w:cs="Arial"/>
          <w:color w:val="000000"/>
          <w:lang w:eastAsia="en-ZA"/>
        </w:rPr>
        <w:t>4) strongly disagree for trustees</w:t>
      </w:r>
      <w:r w:rsidRPr="000C30E7">
        <w:rPr>
          <w:rFonts w:ascii="Arial" w:hAnsi="Arial" w:cs="Arial"/>
          <w:color w:val="000000"/>
          <w:lang w:eastAsia="en-ZA"/>
        </w:rPr>
        <w:t xml:space="preserve"> to report their </w:t>
      </w:r>
      <w:r>
        <w:rPr>
          <w:rFonts w:ascii="Arial" w:hAnsi="Arial" w:cs="Arial"/>
          <w:color w:val="000000"/>
          <w:lang w:eastAsia="en-ZA"/>
        </w:rPr>
        <w:t>views</w:t>
      </w:r>
      <w:r w:rsidRPr="000C30E7">
        <w:rPr>
          <w:rFonts w:ascii="Arial" w:hAnsi="Arial" w:cs="Arial"/>
          <w:color w:val="000000"/>
          <w:lang w:eastAsia="en-ZA"/>
        </w:rPr>
        <w:t xml:space="preserve"> based on their understanding of the </w:t>
      </w:r>
      <w:r w:rsidR="00082261">
        <w:rPr>
          <w:rFonts w:ascii="Arial" w:hAnsi="Arial" w:cs="Arial"/>
          <w:color w:val="000000"/>
          <w:lang w:eastAsia="en-ZA"/>
        </w:rPr>
        <w:t xml:space="preserve">statements and/or questions below: </w:t>
      </w:r>
    </w:p>
    <w:p w:rsidR="00265F87" w:rsidRDefault="00265F87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n-ZA"/>
        </w:rPr>
      </w:pPr>
    </w:p>
    <w:p w:rsidR="00EC4F2B" w:rsidRP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EC4F2B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1</w:t>
      </w:r>
      <w:r w:rsidRPr="00EC4F2B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ab/>
      </w:r>
      <w:r w:rsidRPr="00EC4F2B">
        <w:rPr>
          <w:rFonts w:ascii="Arial" w:eastAsia="Times New Roman" w:hAnsi="Arial" w:cs="Arial"/>
          <w:color w:val="000000"/>
          <w:sz w:val="16"/>
          <w:szCs w:val="16"/>
          <w:lang w:eastAsia="en-ZA"/>
        </w:rPr>
        <w:t>Strongly Agree = means that the service provider has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delivered an excellent performance above the SLA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expectations. 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  <w:r w:rsidRPr="00EC4F2B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EC4F2B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2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Agree = means that the service provider has performed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>as expected in terms of the SLA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>.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EC4F2B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3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Disagree = means that the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service provider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has not performed as expected in terms of the SLA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. </w:t>
      </w:r>
    </w:p>
    <w:p w:rsidR="00EC4F2B" w:rsidRDefault="00EC4F2B" w:rsidP="00A15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r w:rsidRPr="00D52A0A">
        <w:rPr>
          <w:rFonts w:ascii="Arial" w:eastAsia="Times New Roman" w:hAnsi="Arial" w:cs="Arial"/>
          <w:b/>
          <w:color w:val="000000"/>
          <w:sz w:val="16"/>
          <w:szCs w:val="16"/>
          <w:lang w:eastAsia="en-ZA"/>
        </w:rPr>
        <w:t>Option 4</w:t>
      </w:r>
      <w:r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 Strongly disagree = means that the service provider has not delivered </w:t>
      </w:r>
      <w:r w:rsidR="00BE2F4E">
        <w:rPr>
          <w:rFonts w:ascii="Arial" w:eastAsia="Times New Roman" w:hAnsi="Arial" w:cs="Arial"/>
          <w:color w:val="000000"/>
          <w:sz w:val="16"/>
          <w:szCs w:val="16"/>
          <w:lang w:eastAsia="en-ZA"/>
        </w:rPr>
        <w:t xml:space="preserve">at all. </w:t>
      </w:r>
    </w:p>
    <w:p w:rsidR="00086649" w:rsidRDefault="00086649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1D55DC" w:rsidRPr="009A673B" w:rsidRDefault="006D55F2" w:rsidP="006D55F2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b/>
        </w:rPr>
      </w:pPr>
      <w:r w:rsidRPr="006D55F2">
        <w:rPr>
          <w:rFonts w:ascii="Arial" w:hAnsi="Arial" w:cs="Arial"/>
          <w:b/>
        </w:rPr>
        <w:t>OLD MUTUAL ASSET MANAGERS</w:t>
      </w: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5805"/>
        <w:gridCol w:w="1109"/>
        <w:gridCol w:w="840"/>
        <w:gridCol w:w="1146"/>
        <w:gridCol w:w="1121"/>
      </w:tblGrid>
      <w:tr w:rsidR="000B1105" w:rsidRPr="006D55F2" w:rsidTr="004050F3">
        <w:trPr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105" w:rsidRPr="006D55F2" w:rsidRDefault="000B1105" w:rsidP="000B11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BC0AF0" w:rsidRPr="006D55F2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6D55F2" w:rsidRPr="006D55F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6D55F2">
              <w:rPr>
                <w:rFonts w:ascii="Arial" w:hAnsi="Arial" w:cs="Arial"/>
                <w:b/>
                <w:sz w:val="22"/>
                <w:szCs w:val="22"/>
              </w:rPr>
              <w:t>Please tick:</w:t>
            </w:r>
          </w:p>
        </w:tc>
      </w:tr>
      <w:tr w:rsidR="000B1105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6D55F2" w:rsidRDefault="000B1105" w:rsidP="002E355E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6D55F2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lang w:eastAsia="en-ZA"/>
              </w:rPr>
              <w:t>Strongly Agree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6D55F2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lang w:eastAsia="en-ZA"/>
              </w:rPr>
              <w:t xml:space="preserve">Agree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6D55F2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lang w:eastAsia="en-ZA"/>
              </w:rPr>
              <w:t xml:space="preserve">Disagree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6D55F2" w:rsidRDefault="000B1105" w:rsidP="002E3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lang w:eastAsia="en-ZA"/>
              </w:rPr>
              <w:t>Strongly disagree</w:t>
            </w:r>
          </w:p>
        </w:tc>
      </w:tr>
      <w:tr w:rsidR="000B1105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082261" w:rsidP="00140F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5F2">
              <w:rPr>
                <w:rFonts w:ascii="Arial" w:hAnsi="Arial" w:cs="Arial"/>
              </w:rPr>
              <w:t>The asset manager has delivered investment performance for the period in line with the fund’s investment objectives</w:t>
            </w:r>
            <w:r w:rsidR="00140F2D">
              <w:rPr>
                <w:rFonts w:ascii="Arial" w:hAnsi="Arial" w:cs="Arial"/>
              </w:rPr>
              <w:t xml:space="preserve"> </w:t>
            </w:r>
            <w:r w:rsidRPr="006D55F2">
              <w:rPr>
                <w:rFonts w:ascii="Arial" w:hAnsi="Arial" w:cs="Arial"/>
              </w:rPr>
              <w:t>in line with the investment mandate.</w:t>
            </w:r>
            <w:r w:rsidR="00140F2D">
              <w:rPr>
                <w:rFonts w:ascii="Arial" w:hAnsi="Arial" w:cs="Arial"/>
              </w:rPr>
              <w:t xml:space="preserve"> Meaning is the portfolio meeting the (CPI+5%) benchmark over 3 years rolling periods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B1105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5" w:rsidRPr="005F715E" w:rsidRDefault="00140F2D" w:rsidP="00140F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market value of the total portfolio above the book value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5" w:rsidRPr="006D55F2" w:rsidRDefault="000B1105" w:rsidP="002E35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E751F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1F" w:rsidRPr="006D55F2" w:rsidRDefault="00140F2D" w:rsidP="00B0234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656">
              <w:rPr>
                <w:rFonts w:ascii="Arial" w:hAnsi="Arial" w:cs="Arial"/>
              </w:rPr>
              <w:t>Is the manager’s portfolio in compliance with Regulation 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1F" w:rsidRPr="006D55F2" w:rsidRDefault="000E751F" w:rsidP="000E75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1F" w:rsidRPr="006D55F2" w:rsidRDefault="000E751F" w:rsidP="000E75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1F" w:rsidRPr="006D55F2" w:rsidRDefault="000E751F" w:rsidP="000E75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1F" w:rsidRPr="006D55F2" w:rsidRDefault="000E751F" w:rsidP="000E75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5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050F3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4050F3">
            <w:pPr>
              <w:pStyle w:val="ListParagraph"/>
              <w:spacing w:after="0" w:line="240" w:lineRule="auto"/>
              <w:ind w:left="1260"/>
              <w:jc w:val="right"/>
              <w:rPr>
                <w:rFonts w:ascii="Arial" w:hAnsi="Arial" w:cs="Arial"/>
              </w:rPr>
            </w:pPr>
            <w:r w:rsidRPr="004050F3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151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4050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50F3">
              <w:rPr>
                <w:rFonts w:ascii="Arial" w:hAnsi="Arial" w:cs="Arial"/>
                <w:b/>
              </w:rPr>
              <w:t>Additional comments:</w:t>
            </w:r>
          </w:p>
        </w:tc>
      </w:tr>
      <w:tr w:rsidR="004050F3" w:rsidRPr="006D55F2" w:rsidTr="00597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932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1C4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0A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99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6D5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F2D" w:rsidRDefault="00140F2D">
      <w:pPr>
        <w:rPr>
          <w:rFonts w:ascii="Arial" w:hAnsi="Arial" w:cs="Arial"/>
          <w:b/>
        </w:rPr>
      </w:pPr>
    </w:p>
    <w:p w:rsidR="001D55DC" w:rsidRPr="00BC0BD3" w:rsidRDefault="00A13DD9" w:rsidP="006D55F2">
      <w:pPr>
        <w:pStyle w:val="ListParagraph"/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SENTIO CAPITAL</w:t>
      </w: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6582"/>
        <w:gridCol w:w="875"/>
        <w:gridCol w:w="734"/>
        <w:gridCol w:w="892"/>
        <w:gridCol w:w="913"/>
      </w:tblGrid>
      <w:tr w:rsidR="006D55F2" w:rsidRPr="006D55F2" w:rsidTr="007131F4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D55F2" w:rsidRPr="006D55F2" w:rsidRDefault="006D55F2" w:rsidP="006D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</w:t>
            </w:r>
            <w:r w:rsidRPr="006D55F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Please tick:</w:t>
            </w:r>
          </w:p>
        </w:tc>
      </w:tr>
      <w:tr w:rsidR="006D55F2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6D55F2" w:rsidP="006D55F2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6D55F2" w:rsidP="006D55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6D55F2" w:rsidP="006D55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6D55F2" w:rsidP="006D55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6D55F2" w:rsidP="006D55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6D55F2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4050F3" w:rsidRDefault="006D55F2" w:rsidP="00140F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50F3">
              <w:rPr>
                <w:rFonts w:ascii="Arial" w:hAnsi="Arial" w:cs="Arial"/>
              </w:rPr>
              <w:t xml:space="preserve">The asset manager has delivered investment performance for the period in line with the fund’s investment objectives in line with the investment mandate. </w:t>
            </w:r>
            <w:r w:rsidR="00140F2D">
              <w:rPr>
                <w:rFonts w:ascii="Arial" w:hAnsi="Arial" w:cs="Arial"/>
              </w:rPr>
              <w:t>- The  portfolio meeting the (SWIX+2%) benchmark over 3 years rolling periods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DC6DE6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6" w:rsidRPr="00352A19" w:rsidRDefault="00DC6DE6" w:rsidP="00DC6DE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manager’s performance is above the median performance of the appropriate peer group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6D55F2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140F2D" w:rsidP="004050F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A19">
              <w:rPr>
                <w:rFonts w:ascii="Arial" w:hAnsi="Arial" w:cs="Arial"/>
              </w:rPr>
              <w:t>Is the manager’s portfolio in compliance with Regulation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2" w:rsidRPr="006D55F2" w:rsidRDefault="006D55F2" w:rsidP="006D5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4050F3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1335B5" w:rsidRDefault="004050F3" w:rsidP="001335B5">
            <w:pPr>
              <w:pStyle w:val="ListParagraph"/>
              <w:spacing w:after="0" w:line="240" w:lineRule="auto"/>
              <w:ind w:left="1260" w:hanging="720"/>
              <w:jc w:val="right"/>
              <w:rPr>
                <w:rFonts w:ascii="Arial" w:hAnsi="Arial" w:cs="Arial"/>
                <w:b/>
              </w:rPr>
            </w:pPr>
            <w:r w:rsidRPr="004050F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50F3">
              <w:rPr>
                <w:rFonts w:ascii="Arial" w:hAnsi="Arial" w:cs="Arial"/>
                <w:b/>
              </w:rPr>
              <w:t>Additional comments:</w:t>
            </w: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F2D" w:rsidRDefault="00140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65F87" w:rsidRPr="00265F87" w:rsidRDefault="00265F87" w:rsidP="00265F87">
      <w:pPr>
        <w:pStyle w:val="ListParagraph"/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 w:rsidRPr="00265F87">
        <w:rPr>
          <w:rFonts w:ascii="Arial" w:hAnsi="Arial" w:cs="Arial"/>
          <w:b/>
        </w:rPr>
        <w:lastRenderedPageBreak/>
        <w:t>VUNANI ASSET MANAGERS</w:t>
      </w: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6582"/>
        <w:gridCol w:w="875"/>
        <w:gridCol w:w="734"/>
        <w:gridCol w:w="892"/>
        <w:gridCol w:w="913"/>
      </w:tblGrid>
      <w:tr w:rsidR="00265F87" w:rsidRPr="006D55F2" w:rsidTr="00821581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65F87" w:rsidRPr="006D55F2" w:rsidRDefault="00265F87" w:rsidP="00821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</w:t>
            </w:r>
            <w:r w:rsidRPr="006D55F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Please tick:</w:t>
            </w: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6D55F2" w:rsidRDefault="00265F87" w:rsidP="00821581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6D55F2" w:rsidRDefault="00265F87" w:rsidP="008215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6D55F2" w:rsidRDefault="00265F87" w:rsidP="008215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6D55F2" w:rsidRDefault="00265F87" w:rsidP="008215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6D55F2" w:rsidRDefault="00265F87" w:rsidP="008215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4050F3" w:rsidRDefault="00265F87" w:rsidP="00265F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50F3">
              <w:rPr>
                <w:rFonts w:ascii="Arial" w:hAnsi="Arial" w:cs="Arial"/>
              </w:rPr>
              <w:t xml:space="preserve">The asset manager has delivered investment performance for the period in line with the fund’s investment objectives in line with the investment mandate. </w:t>
            </w:r>
            <w:r>
              <w:rPr>
                <w:rFonts w:ascii="Arial" w:hAnsi="Arial" w:cs="Arial"/>
              </w:rPr>
              <w:t>- The  portfolio meeting the (SWIX+2%) benchmark over 3 years rolling periods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352A19" w:rsidRDefault="00265F87" w:rsidP="00265F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manager’s performance is above the median performance of the appropriate peer group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7" w:rsidRPr="006D55F2" w:rsidRDefault="00265F87" w:rsidP="00265F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A19">
              <w:rPr>
                <w:rFonts w:ascii="Arial" w:hAnsi="Arial" w:cs="Arial"/>
              </w:rPr>
              <w:t>Is the manager’s portfolio in compliance with Regulation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1335B5" w:rsidRDefault="00265F87" w:rsidP="00821581">
            <w:pPr>
              <w:pStyle w:val="ListParagraph"/>
              <w:spacing w:after="0" w:line="240" w:lineRule="auto"/>
              <w:ind w:left="1260" w:hanging="720"/>
              <w:jc w:val="right"/>
              <w:rPr>
                <w:rFonts w:ascii="Arial" w:hAnsi="Arial" w:cs="Arial"/>
                <w:b/>
              </w:rPr>
            </w:pPr>
            <w:r w:rsidRPr="004050F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4050F3" w:rsidRDefault="00265F87" w:rsidP="00821581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4050F3" w:rsidRDefault="00265F87" w:rsidP="00821581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4050F3" w:rsidRDefault="00265F87" w:rsidP="00821581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4050F3" w:rsidRDefault="00265F87" w:rsidP="00821581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50F3">
              <w:rPr>
                <w:rFonts w:ascii="Arial" w:hAnsi="Arial" w:cs="Arial"/>
                <w:b/>
              </w:rPr>
              <w:t>Additional comments:</w:t>
            </w: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87" w:rsidRPr="006D55F2" w:rsidTr="0082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7" w:rsidRPr="006D55F2" w:rsidRDefault="00265F87" w:rsidP="008215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265F87" w:rsidRPr="00265F87" w:rsidRDefault="00265F87" w:rsidP="00265F87">
      <w:pPr>
        <w:pStyle w:val="ListParagraph"/>
        <w:spacing w:after="0" w:line="288" w:lineRule="auto"/>
        <w:jc w:val="both"/>
        <w:rPr>
          <w:rFonts w:ascii="Arial" w:hAnsi="Arial" w:cs="Arial"/>
          <w:b/>
        </w:rPr>
      </w:pPr>
    </w:p>
    <w:p w:rsidR="001138AE" w:rsidRPr="00062D91" w:rsidRDefault="00265F87" w:rsidP="004050F3">
      <w:pPr>
        <w:pStyle w:val="ListParagraph"/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MERGENCE ASSET </w:t>
      </w:r>
      <w:r w:rsidR="004050F3">
        <w:rPr>
          <w:rFonts w:ascii="Arial" w:hAnsi="Arial" w:cs="Arial"/>
          <w:b/>
        </w:rPr>
        <w:t>MANAGERS</w:t>
      </w: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6582"/>
        <w:gridCol w:w="875"/>
        <w:gridCol w:w="734"/>
        <w:gridCol w:w="892"/>
        <w:gridCol w:w="913"/>
      </w:tblGrid>
      <w:tr w:rsidR="004050F3" w:rsidRPr="006D55F2" w:rsidTr="007131F4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050F3" w:rsidRPr="006D55F2" w:rsidRDefault="004050F3" w:rsidP="00713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</w:t>
            </w:r>
            <w:r w:rsidRPr="006D55F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Please tick:</w:t>
            </w: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6D55F2" w:rsidRDefault="004050F3" w:rsidP="007131F4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6D55F2" w:rsidRDefault="004050F3" w:rsidP="007131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Agree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6D55F2" w:rsidRDefault="004050F3" w:rsidP="007131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Agree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6D55F2" w:rsidRDefault="004050F3" w:rsidP="007131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 xml:space="preserve">Disagree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6D55F2" w:rsidRDefault="004050F3" w:rsidP="007131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6D55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Strongly disagree</w:t>
            </w: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5F715E" w:rsidRDefault="004050F3" w:rsidP="00DC6DE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50F3">
              <w:rPr>
                <w:rFonts w:ascii="Arial" w:hAnsi="Arial" w:cs="Arial"/>
              </w:rPr>
              <w:t>The asset manager has delivered investment performance for the period in line with the fund’s investment objectives</w:t>
            </w:r>
            <w:r w:rsidR="00140F2D">
              <w:rPr>
                <w:rFonts w:ascii="Arial" w:hAnsi="Arial" w:cs="Arial"/>
              </w:rPr>
              <w:t xml:space="preserve"> </w:t>
            </w:r>
            <w:r w:rsidRPr="004050F3">
              <w:rPr>
                <w:rFonts w:ascii="Arial" w:hAnsi="Arial" w:cs="Arial"/>
              </w:rPr>
              <w:t>in line with the investment mandate.</w:t>
            </w:r>
            <w:r w:rsidR="00140F2D">
              <w:rPr>
                <w:rFonts w:ascii="Arial" w:hAnsi="Arial" w:cs="Arial"/>
              </w:rPr>
              <w:t xml:space="preserve">  – </w:t>
            </w:r>
            <w:r w:rsidR="00DC6DE6">
              <w:rPr>
                <w:rFonts w:ascii="Arial" w:hAnsi="Arial" w:cs="Arial"/>
              </w:rPr>
              <w:t>Meaning the</w:t>
            </w:r>
            <w:r w:rsidR="00140F2D">
              <w:rPr>
                <w:rFonts w:ascii="Arial" w:hAnsi="Arial" w:cs="Arial"/>
              </w:rPr>
              <w:t xml:space="preserve"> portfolio protecting capital over 12 months</w:t>
            </w:r>
            <w:r w:rsidR="00DC6DE6">
              <w:rPr>
                <w:rFonts w:ascii="Arial" w:hAnsi="Arial" w:cs="Arial"/>
              </w:rPr>
              <w:t xml:space="preserve"> also</w:t>
            </w:r>
            <w:r w:rsidR="00140F2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5F715E" w:rsidRDefault="00DC6DE6" w:rsidP="00140F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40F2D">
              <w:rPr>
                <w:rFonts w:ascii="Arial" w:hAnsi="Arial" w:cs="Arial"/>
              </w:rPr>
              <w:t xml:space="preserve">he manager </w:t>
            </w:r>
            <w:r>
              <w:rPr>
                <w:rFonts w:ascii="Arial" w:hAnsi="Arial" w:cs="Arial"/>
              </w:rPr>
              <w:t xml:space="preserve">is </w:t>
            </w:r>
            <w:r w:rsidR="00140F2D">
              <w:rPr>
                <w:rFonts w:ascii="Arial" w:hAnsi="Arial" w:cs="Arial"/>
              </w:rPr>
              <w:t xml:space="preserve">meeting the CPI+4% objective over 3 year rolling periods?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DC6DE6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6" w:rsidRDefault="00DC6DE6" w:rsidP="00DC6DE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manager’s performance is above the median performance of the appropriate peer group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6" w:rsidRPr="006D55F2" w:rsidRDefault="00DC6DE6" w:rsidP="00DC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2" w:rsidRPr="006D55F2" w:rsidRDefault="00140F2D" w:rsidP="007131F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A19">
              <w:rPr>
                <w:rFonts w:ascii="Arial" w:hAnsi="Arial" w:cs="Arial"/>
              </w:rPr>
              <w:t>Is the manager’s portfolio in compliance with Regulation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6D55F2">
              <w:rPr>
                <w:rFonts w:ascii="Arial" w:eastAsia="Times New Roman" w:hAnsi="Arial" w:cs="Arial"/>
                <w:sz w:val="36"/>
                <w:szCs w:val="36"/>
                <w:lang w:val="en-GB"/>
              </w:rPr>
              <w:sym w:font="Wingdings" w:char="F06F"/>
            </w:r>
          </w:p>
        </w:tc>
      </w:tr>
      <w:tr w:rsidR="004050F3" w:rsidRPr="006D55F2" w:rsidTr="00405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1335B5" w:rsidRDefault="004050F3" w:rsidP="001335B5">
            <w:pPr>
              <w:pStyle w:val="ListParagraph"/>
              <w:spacing w:after="0" w:line="240" w:lineRule="auto"/>
              <w:ind w:left="1260" w:hanging="720"/>
              <w:jc w:val="right"/>
              <w:rPr>
                <w:rFonts w:ascii="Arial" w:hAnsi="Arial" w:cs="Arial"/>
                <w:b/>
              </w:rPr>
            </w:pPr>
            <w:r w:rsidRPr="004050F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4050F3" w:rsidRDefault="004050F3" w:rsidP="004050F3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50F3">
              <w:rPr>
                <w:rFonts w:ascii="Arial" w:hAnsi="Arial" w:cs="Arial"/>
                <w:b/>
              </w:rPr>
              <w:t>Additional comments:</w:t>
            </w: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F3" w:rsidRPr="006D55F2" w:rsidTr="00713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F3" w:rsidRPr="006D55F2" w:rsidRDefault="004050F3" w:rsidP="007131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CF1" w:rsidRPr="004050F3" w:rsidRDefault="00140F2D" w:rsidP="004050F3">
      <w:r>
        <w:tab/>
      </w:r>
      <w:r>
        <w:tab/>
      </w:r>
      <w:bookmarkStart w:id="0" w:name="_GoBack"/>
      <w:bookmarkEnd w:id="0"/>
    </w:p>
    <w:sectPr w:rsidR="00644CF1" w:rsidRPr="004050F3" w:rsidSect="009263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7E" w:rsidRDefault="003A367E" w:rsidP="00EB7B34">
      <w:pPr>
        <w:spacing w:after="0" w:line="240" w:lineRule="auto"/>
      </w:pPr>
      <w:r>
        <w:separator/>
      </w:r>
    </w:p>
  </w:endnote>
  <w:endnote w:type="continuationSeparator" w:id="0">
    <w:p w:rsidR="003A367E" w:rsidRDefault="003A367E" w:rsidP="00EB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61" w:rsidRPr="00086649" w:rsidRDefault="00082261" w:rsidP="00086649">
    <w:pPr>
      <w:pStyle w:val="Footer"/>
      <w:tabs>
        <w:tab w:val="clear" w:pos="4680"/>
        <w:tab w:val="center" w:pos="4820"/>
        <w:tab w:val="right" w:pos="9214"/>
      </w:tabs>
      <w:rPr>
        <w:rFonts w:ascii="Arial" w:eastAsia="Calibri" w:hAnsi="Arial"/>
        <w:szCs w:val="20"/>
        <w:lang w:val="en-ZA"/>
      </w:rPr>
    </w:pPr>
    <w:r>
      <w:rPr>
        <w:rFonts w:ascii="Arial" w:eastAsia="Calibri" w:hAnsi="Arial"/>
        <w:szCs w:val="20"/>
        <w:lang w:val="en-ZA"/>
      </w:rPr>
      <w:t xml:space="preserve">Bridging Provident Fund </w:t>
    </w:r>
    <w:r w:rsidR="004050F3">
      <w:rPr>
        <w:rFonts w:ascii="Arial" w:eastAsia="Calibri" w:hAnsi="Arial"/>
        <w:szCs w:val="20"/>
        <w:lang w:val="en-ZA"/>
      </w:rPr>
      <w:t>Asset Manager</w:t>
    </w:r>
    <w:r>
      <w:rPr>
        <w:rFonts w:ascii="Arial" w:eastAsia="Calibri" w:hAnsi="Arial"/>
        <w:szCs w:val="20"/>
        <w:lang w:val="en-ZA"/>
      </w:rPr>
      <w:t xml:space="preserve"> Assessment Document</w:t>
    </w:r>
    <w:r>
      <w:rPr>
        <w:rFonts w:ascii="Arial" w:eastAsia="Calibri" w:hAnsi="Arial"/>
        <w:szCs w:val="20"/>
        <w:lang w:val="en-ZA"/>
      </w:rPr>
      <w:tab/>
    </w:r>
    <w:r w:rsidR="00BA1603">
      <w:rPr>
        <w:rFonts w:ascii="Arial" w:eastAsia="Calibri" w:hAnsi="Arial"/>
        <w:szCs w:val="20"/>
        <w:lang w:val="en-ZA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7E" w:rsidRDefault="003A367E" w:rsidP="00EB7B34">
      <w:pPr>
        <w:spacing w:after="0" w:line="240" w:lineRule="auto"/>
      </w:pPr>
      <w:r>
        <w:separator/>
      </w:r>
    </w:p>
  </w:footnote>
  <w:footnote w:type="continuationSeparator" w:id="0">
    <w:p w:rsidR="003A367E" w:rsidRDefault="003A367E" w:rsidP="00EB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0D7"/>
    <w:multiLevelType w:val="hybridMultilevel"/>
    <w:tmpl w:val="70B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B46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D476D8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3E765A"/>
    <w:multiLevelType w:val="multilevel"/>
    <w:tmpl w:val="365003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77F6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CA0F5A"/>
    <w:multiLevelType w:val="hybridMultilevel"/>
    <w:tmpl w:val="8F42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06C5"/>
    <w:multiLevelType w:val="hybridMultilevel"/>
    <w:tmpl w:val="DABA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B2DB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7D05C2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874020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D1553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8D4BFF"/>
    <w:multiLevelType w:val="hybridMultilevel"/>
    <w:tmpl w:val="6BE25362"/>
    <w:lvl w:ilvl="0" w:tplc="D9263AD2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84BAD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882256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E70C8B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9C066B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FC76D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0C024F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850055"/>
    <w:multiLevelType w:val="multilevel"/>
    <w:tmpl w:val="DA6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C7E94"/>
    <w:multiLevelType w:val="multilevel"/>
    <w:tmpl w:val="8828F2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043261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7543BF"/>
    <w:multiLevelType w:val="hybridMultilevel"/>
    <w:tmpl w:val="13FE5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A6FA5"/>
    <w:multiLevelType w:val="hybridMultilevel"/>
    <w:tmpl w:val="75B89A26"/>
    <w:lvl w:ilvl="0" w:tplc="AC642C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A29E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85E55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C9135E"/>
    <w:multiLevelType w:val="hybridMultilevel"/>
    <w:tmpl w:val="4B94C9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050C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C40325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39013A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9F32355"/>
    <w:multiLevelType w:val="hybridMultilevel"/>
    <w:tmpl w:val="5DA4DA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30F6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</w:num>
  <w:num w:numId="5">
    <w:abstractNumId w:val="21"/>
  </w:num>
  <w:num w:numId="6">
    <w:abstractNumId w:val="29"/>
  </w:num>
  <w:num w:numId="7">
    <w:abstractNumId w:val="25"/>
  </w:num>
  <w:num w:numId="8">
    <w:abstractNumId w:val="5"/>
  </w:num>
  <w:num w:numId="9">
    <w:abstractNumId w:val="0"/>
  </w:num>
  <w:num w:numId="10">
    <w:abstractNumId w:val="18"/>
  </w:num>
  <w:num w:numId="11">
    <w:abstractNumId w:val="3"/>
  </w:num>
  <w:num w:numId="12">
    <w:abstractNumId w:val="19"/>
  </w:num>
  <w:num w:numId="13">
    <w:abstractNumId w:val="4"/>
  </w:num>
  <w:num w:numId="14">
    <w:abstractNumId w:val="27"/>
  </w:num>
  <w:num w:numId="15">
    <w:abstractNumId w:val="23"/>
  </w:num>
  <w:num w:numId="16">
    <w:abstractNumId w:val="30"/>
  </w:num>
  <w:num w:numId="17">
    <w:abstractNumId w:val="8"/>
  </w:num>
  <w:num w:numId="18">
    <w:abstractNumId w:val="15"/>
  </w:num>
  <w:num w:numId="19">
    <w:abstractNumId w:val="13"/>
  </w:num>
  <w:num w:numId="20">
    <w:abstractNumId w:val="20"/>
  </w:num>
  <w:num w:numId="21">
    <w:abstractNumId w:val="12"/>
  </w:num>
  <w:num w:numId="22">
    <w:abstractNumId w:val="10"/>
  </w:num>
  <w:num w:numId="23">
    <w:abstractNumId w:val="7"/>
  </w:num>
  <w:num w:numId="24">
    <w:abstractNumId w:val="16"/>
  </w:num>
  <w:num w:numId="25">
    <w:abstractNumId w:val="28"/>
  </w:num>
  <w:num w:numId="26">
    <w:abstractNumId w:val="26"/>
  </w:num>
  <w:num w:numId="27">
    <w:abstractNumId w:val="14"/>
  </w:num>
  <w:num w:numId="28">
    <w:abstractNumId w:val="2"/>
  </w:num>
  <w:num w:numId="29">
    <w:abstractNumId w:val="9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5A"/>
    <w:rsid w:val="00001C3B"/>
    <w:rsid w:val="00002F3B"/>
    <w:rsid w:val="000271D5"/>
    <w:rsid w:val="000309BE"/>
    <w:rsid w:val="000356A4"/>
    <w:rsid w:val="00040A4B"/>
    <w:rsid w:val="00062D91"/>
    <w:rsid w:val="00070171"/>
    <w:rsid w:val="000702DD"/>
    <w:rsid w:val="00070EA8"/>
    <w:rsid w:val="00082261"/>
    <w:rsid w:val="00086649"/>
    <w:rsid w:val="000B1105"/>
    <w:rsid w:val="000B55DA"/>
    <w:rsid w:val="000C1F5E"/>
    <w:rsid w:val="000D729F"/>
    <w:rsid w:val="000E751F"/>
    <w:rsid w:val="001138AE"/>
    <w:rsid w:val="001335B5"/>
    <w:rsid w:val="00140F2D"/>
    <w:rsid w:val="00147374"/>
    <w:rsid w:val="001511B3"/>
    <w:rsid w:val="001864FD"/>
    <w:rsid w:val="001A204E"/>
    <w:rsid w:val="001A2CC6"/>
    <w:rsid w:val="001B20BB"/>
    <w:rsid w:val="001C3DF3"/>
    <w:rsid w:val="001D55DC"/>
    <w:rsid w:val="001F38A3"/>
    <w:rsid w:val="00235E97"/>
    <w:rsid w:val="00246371"/>
    <w:rsid w:val="0025554A"/>
    <w:rsid w:val="00265F87"/>
    <w:rsid w:val="002A11A2"/>
    <w:rsid w:val="002A6749"/>
    <w:rsid w:val="002E12D0"/>
    <w:rsid w:val="002E355E"/>
    <w:rsid w:val="002F094F"/>
    <w:rsid w:val="00310BF8"/>
    <w:rsid w:val="00344472"/>
    <w:rsid w:val="003505A5"/>
    <w:rsid w:val="00356A95"/>
    <w:rsid w:val="00364494"/>
    <w:rsid w:val="00365FC5"/>
    <w:rsid w:val="00395F3A"/>
    <w:rsid w:val="00397449"/>
    <w:rsid w:val="003A367E"/>
    <w:rsid w:val="003B5FCF"/>
    <w:rsid w:val="003F705E"/>
    <w:rsid w:val="003F761A"/>
    <w:rsid w:val="004050F3"/>
    <w:rsid w:val="0041070E"/>
    <w:rsid w:val="00415C4C"/>
    <w:rsid w:val="004206B0"/>
    <w:rsid w:val="004224BC"/>
    <w:rsid w:val="00456B4F"/>
    <w:rsid w:val="004909A0"/>
    <w:rsid w:val="004A2063"/>
    <w:rsid w:val="004A5378"/>
    <w:rsid w:val="004D7500"/>
    <w:rsid w:val="005077F5"/>
    <w:rsid w:val="00510046"/>
    <w:rsid w:val="005110A0"/>
    <w:rsid w:val="00542912"/>
    <w:rsid w:val="00542935"/>
    <w:rsid w:val="00561D21"/>
    <w:rsid w:val="0056360C"/>
    <w:rsid w:val="00586176"/>
    <w:rsid w:val="00590DE2"/>
    <w:rsid w:val="00595A36"/>
    <w:rsid w:val="005975BC"/>
    <w:rsid w:val="005A3E06"/>
    <w:rsid w:val="005B4186"/>
    <w:rsid w:val="005B632D"/>
    <w:rsid w:val="005F2319"/>
    <w:rsid w:val="005F715E"/>
    <w:rsid w:val="00644CF1"/>
    <w:rsid w:val="006541D2"/>
    <w:rsid w:val="00674187"/>
    <w:rsid w:val="00684C98"/>
    <w:rsid w:val="0068771A"/>
    <w:rsid w:val="00694E21"/>
    <w:rsid w:val="006A11C2"/>
    <w:rsid w:val="006C78C3"/>
    <w:rsid w:val="006D55F2"/>
    <w:rsid w:val="006D6141"/>
    <w:rsid w:val="007006B2"/>
    <w:rsid w:val="007138F1"/>
    <w:rsid w:val="00715EBF"/>
    <w:rsid w:val="00730245"/>
    <w:rsid w:val="0074514E"/>
    <w:rsid w:val="00746935"/>
    <w:rsid w:val="00766051"/>
    <w:rsid w:val="00771CB8"/>
    <w:rsid w:val="00794CCD"/>
    <w:rsid w:val="007B0E4F"/>
    <w:rsid w:val="007E33A7"/>
    <w:rsid w:val="00813D32"/>
    <w:rsid w:val="00825BF1"/>
    <w:rsid w:val="008508BD"/>
    <w:rsid w:val="00856A14"/>
    <w:rsid w:val="00880738"/>
    <w:rsid w:val="00882DF0"/>
    <w:rsid w:val="008B1ED4"/>
    <w:rsid w:val="008D5052"/>
    <w:rsid w:val="008F4766"/>
    <w:rsid w:val="00904605"/>
    <w:rsid w:val="0092069E"/>
    <w:rsid w:val="0092635C"/>
    <w:rsid w:val="00930BF2"/>
    <w:rsid w:val="0097479D"/>
    <w:rsid w:val="009A673B"/>
    <w:rsid w:val="009C455A"/>
    <w:rsid w:val="00A10965"/>
    <w:rsid w:val="00A13DD9"/>
    <w:rsid w:val="00A15122"/>
    <w:rsid w:val="00A474DB"/>
    <w:rsid w:val="00A62B7B"/>
    <w:rsid w:val="00A670CB"/>
    <w:rsid w:val="00AA21E2"/>
    <w:rsid w:val="00AB7B4F"/>
    <w:rsid w:val="00AC2F02"/>
    <w:rsid w:val="00AD4E1E"/>
    <w:rsid w:val="00B0234B"/>
    <w:rsid w:val="00B039A4"/>
    <w:rsid w:val="00B104CA"/>
    <w:rsid w:val="00B20058"/>
    <w:rsid w:val="00B21EA6"/>
    <w:rsid w:val="00B35512"/>
    <w:rsid w:val="00B60023"/>
    <w:rsid w:val="00B6320C"/>
    <w:rsid w:val="00B67F0A"/>
    <w:rsid w:val="00B7597B"/>
    <w:rsid w:val="00BA1603"/>
    <w:rsid w:val="00BC0AF0"/>
    <w:rsid w:val="00BC0BD3"/>
    <w:rsid w:val="00BD0B47"/>
    <w:rsid w:val="00BE2F4E"/>
    <w:rsid w:val="00BF0855"/>
    <w:rsid w:val="00C132C9"/>
    <w:rsid w:val="00C14886"/>
    <w:rsid w:val="00C279FE"/>
    <w:rsid w:val="00C50DBD"/>
    <w:rsid w:val="00C51182"/>
    <w:rsid w:val="00C61871"/>
    <w:rsid w:val="00C7775D"/>
    <w:rsid w:val="00C939E4"/>
    <w:rsid w:val="00C97104"/>
    <w:rsid w:val="00CA1A23"/>
    <w:rsid w:val="00CB4FBB"/>
    <w:rsid w:val="00CC5DE7"/>
    <w:rsid w:val="00CC7ECC"/>
    <w:rsid w:val="00D03731"/>
    <w:rsid w:val="00D14C23"/>
    <w:rsid w:val="00D21CA9"/>
    <w:rsid w:val="00D3796B"/>
    <w:rsid w:val="00D52A0A"/>
    <w:rsid w:val="00D8194E"/>
    <w:rsid w:val="00D83333"/>
    <w:rsid w:val="00D83654"/>
    <w:rsid w:val="00D91C77"/>
    <w:rsid w:val="00DA58C4"/>
    <w:rsid w:val="00DA6CB6"/>
    <w:rsid w:val="00DA7E61"/>
    <w:rsid w:val="00DB0762"/>
    <w:rsid w:val="00DB649A"/>
    <w:rsid w:val="00DC05A1"/>
    <w:rsid w:val="00DC298E"/>
    <w:rsid w:val="00DC6DE6"/>
    <w:rsid w:val="00DC6DE9"/>
    <w:rsid w:val="00E02FF5"/>
    <w:rsid w:val="00E16970"/>
    <w:rsid w:val="00E22583"/>
    <w:rsid w:val="00E501F9"/>
    <w:rsid w:val="00E511D6"/>
    <w:rsid w:val="00E5268F"/>
    <w:rsid w:val="00E6579C"/>
    <w:rsid w:val="00E80C25"/>
    <w:rsid w:val="00EB7B34"/>
    <w:rsid w:val="00EC367D"/>
    <w:rsid w:val="00EC4F2B"/>
    <w:rsid w:val="00F073B1"/>
    <w:rsid w:val="00F578C3"/>
    <w:rsid w:val="00F70A15"/>
    <w:rsid w:val="00F748A5"/>
    <w:rsid w:val="00F74CB6"/>
    <w:rsid w:val="00F8557D"/>
    <w:rsid w:val="00F8701D"/>
    <w:rsid w:val="00F91BD0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C2837A"/>
  <w15:docId w15:val="{FB020896-CF74-4D91-8E04-4661EE87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87"/>
  </w:style>
  <w:style w:type="paragraph" w:styleId="Heading1">
    <w:name w:val="heading 1"/>
    <w:basedOn w:val="Normal"/>
    <w:next w:val="Normal"/>
    <w:link w:val="Heading1Char"/>
    <w:qFormat/>
    <w:rsid w:val="008B1ED4"/>
    <w:pPr>
      <w:keepNext/>
      <w:spacing w:before="240" w:after="60"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455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455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13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13D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34"/>
  </w:style>
  <w:style w:type="character" w:customStyle="1" w:styleId="Heading1Char">
    <w:name w:val="Heading 1 Char"/>
    <w:basedOn w:val="DefaultParagraphFont"/>
    <w:link w:val="Heading1"/>
    <w:rsid w:val="008B1ED4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Level4">
    <w:name w:val="Level 4"/>
    <w:basedOn w:val="Normal"/>
    <w:uiPriority w:val="99"/>
    <w:rsid w:val="00730245"/>
    <w:pPr>
      <w:spacing w:after="240" w:line="312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val="en-ZA" w:eastAsia="en-GB"/>
    </w:rPr>
  </w:style>
  <w:style w:type="paragraph" w:customStyle="1" w:styleId="Default">
    <w:name w:val="Default"/>
    <w:rsid w:val="0041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512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Forbes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moenggo</dc:creator>
  <cp:lastModifiedBy>HP Inc.</cp:lastModifiedBy>
  <cp:revision>2</cp:revision>
  <dcterms:created xsi:type="dcterms:W3CDTF">2024-03-26T08:30:00Z</dcterms:created>
  <dcterms:modified xsi:type="dcterms:W3CDTF">2024-03-26T08:30:00Z</dcterms:modified>
</cp:coreProperties>
</file>